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8750" w14:textId="2C526CAF" w:rsidR="000D7030" w:rsidRDefault="00C87DFA">
      <w:pPr>
        <w:pStyle w:val="P68B1DB1-Normal1"/>
        <w:spacing w:line="256" w:lineRule="auto"/>
      </w:pPr>
      <w:bookmarkStart w:id="0" w:name="_Hlk103328139"/>
      <w:r>
        <w:t>Beartas Samplach Ríomhbhaincéireachta</w:t>
      </w:r>
    </w:p>
    <w:p w14:paraId="5CC39437" w14:textId="10EB413C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2C3265F4" w14:textId="247DFC3D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1042654A" w14:textId="5E34730A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1D2E3874" w14:textId="77777777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5619F73E" w14:textId="77777777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3D2EE9A1" w14:textId="77777777" w:rsidR="000D7030" w:rsidRDefault="000D7030">
      <w:pPr>
        <w:spacing w:line="256" w:lineRule="auto"/>
        <w:rPr>
          <w:rFonts w:ascii="Tw Cen MT" w:hAnsi="Tw Cen MT"/>
          <w:b/>
          <w:bCs/>
          <w:sz w:val="72"/>
          <w:szCs w:val="72"/>
        </w:rPr>
      </w:pPr>
    </w:p>
    <w:p w14:paraId="4BC592BD" w14:textId="77777777" w:rsidR="000D7030" w:rsidRDefault="000D7030">
      <w:pPr>
        <w:keepNext/>
        <w:spacing w:line="360" w:lineRule="auto"/>
        <w:jc w:val="both"/>
        <w:outlineLvl w:val="0"/>
        <w:rPr>
          <w:rFonts w:ascii="Tw Cen MT" w:hAnsi="Tw Cen MT"/>
          <w:b/>
          <w:bCs/>
          <w:sz w:val="72"/>
          <w:szCs w:val="72"/>
        </w:rPr>
      </w:pPr>
    </w:p>
    <w:p w14:paraId="759B40E9" w14:textId="77777777" w:rsidR="000D7030" w:rsidRDefault="000D7030">
      <w:pPr>
        <w:keepNext/>
        <w:spacing w:line="360" w:lineRule="auto"/>
        <w:jc w:val="both"/>
        <w:outlineLvl w:val="0"/>
        <w:rPr>
          <w:rFonts w:ascii="Tw Cen MT" w:hAnsi="Tw Cen MT"/>
          <w:b/>
          <w:bCs/>
          <w:sz w:val="72"/>
          <w:szCs w:val="72"/>
        </w:rPr>
      </w:pPr>
    </w:p>
    <w:p w14:paraId="60162C32" w14:textId="77777777" w:rsidR="000D7030" w:rsidRDefault="000D7030">
      <w:pPr>
        <w:keepNext/>
        <w:spacing w:line="360" w:lineRule="auto"/>
        <w:jc w:val="both"/>
        <w:outlineLvl w:val="0"/>
        <w:rPr>
          <w:rFonts w:ascii="Tw Cen MT" w:eastAsia="Times New Roman" w:hAnsi="Tw Cen MT" w:cs="Arial"/>
          <w:i/>
          <w:iCs/>
          <w:sz w:val="26"/>
          <w:szCs w:val="26"/>
        </w:rPr>
      </w:pPr>
    </w:p>
    <w:p w14:paraId="4DAA5640" w14:textId="77777777" w:rsidR="000D7030" w:rsidRDefault="00C87DFA">
      <w:pPr>
        <w:pStyle w:val="P68B1DB1-Normal2"/>
        <w:keepNext/>
        <w:spacing w:line="360" w:lineRule="auto"/>
        <w:jc w:val="both"/>
        <w:outlineLvl w:val="0"/>
      </w:pPr>
      <w:r>
        <w:t xml:space="preserve">Ba cheart an beartas samplach seo a oiriúnú do do bhord bainistíochta ach nithe a shaincheapadh de réir mar is cuí. Seans gur ghá an beartas samplach seo a oiriúnú chun é a chur i gcomhréir le </w:t>
      </w:r>
      <w:r>
        <w:t>beartais agus nósanna imeachta eile atá i bhfeidhm ag do bhord. Ar an gcaoi chéanna, seans gur ghá beartais agus nósanna imeachta eile a oiriúnú de réir mar is cuí leis an mbeartas samplach seo.</w:t>
      </w:r>
    </w:p>
    <w:p w14:paraId="1ABBB828" w14:textId="77777777" w:rsidR="000D7030" w:rsidRDefault="000D7030">
      <w:pPr>
        <w:spacing w:after="22" w:line="256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D7030" w14:paraId="4CB0C499" w14:textId="77777777">
        <w:trPr>
          <w:trHeight w:val="140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78D39F" w14:textId="77777777" w:rsidR="000D7030" w:rsidRDefault="00C87DFA">
            <w:pPr>
              <w:pStyle w:val="P68B1DB1-Normal3"/>
              <w:spacing w:before="100" w:beforeAutospacing="1" w:after="100" w:afterAutospacing="1" w:line="360" w:lineRule="auto"/>
              <w:jc w:val="center"/>
            </w:pPr>
            <w:r>
              <w:lastRenderedPageBreak/>
              <w:t>[</w:t>
            </w:r>
            <w:r>
              <w:rPr>
                <w:highlight w:val="yellow"/>
              </w:rPr>
              <w:t>AINM NA SCOILE]</w:t>
            </w:r>
          </w:p>
          <w:p w14:paraId="5B5B5D5E" w14:textId="02A2FF52" w:rsidR="000D7030" w:rsidRDefault="00C87DFA">
            <w:pPr>
              <w:pStyle w:val="P68B1DB1-Normal4"/>
              <w:jc w:val="center"/>
              <w:rPr>
                <w:rFonts w:eastAsia="Calibri"/>
                <w:u w:val="single"/>
              </w:rPr>
            </w:pPr>
            <w:r>
              <w:t>Teimpléad don Bheartas Ríomhbhaincéireachta</w:t>
            </w:r>
            <w:r>
              <w:t xml:space="preserve"> </w:t>
            </w:r>
          </w:p>
          <w:p w14:paraId="6DDCDA54" w14:textId="0D132EC6" w:rsidR="000D7030" w:rsidRDefault="000D7030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3472F3A1" w14:textId="77777777" w:rsidR="000D7030" w:rsidRDefault="000D7030">
      <w:pPr>
        <w:spacing w:line="256" w:lineRule="auto"/>
        <w:rPr>
          <w:rFonts w:ascii="Tw Cen MT" w:eastAsia="Calibri" w:hAnsi="Tw Cen MT" w:cstheme="minorHAnsi"/>
          <w:color w:val="000000"/>
          <w:sz w:val="26"/>
          <w:szCs w:val="26"/>
        </w:rPr>
      </w:pPr>
    </w:p>
    <w:p w14:paraId="38F93D5B" w14:textId="77777777" w:rsidR="000D7030" w:rsidRDefault="00C87DFA">
      <w:pPr>
        <w:pStyle w:val="P68B1DB1-Normal5"/>
        <w:spacing w:line="256" w:lineRule="auto"/>
      </w:pPr>
      <w:r>
        <w:t>Arna fhormheas ag an mBord Bainistíochta: [</w:t>
      </w:r>
      <w:r>
        <w:rPr>
          <w:highlight w:val="yellow"/>
        </w:rPr>
        <w:t>Dáta a Fhormheasta</w:t>
      </w:r>
      <w:r>
        <w:t>]</w:t>
      </w:r>
    </w:p>
    <w:p w14:paraId="4323E5EA" w14:textId="77777777" w:rsidR="000D7030" w:rsidRDefault="000D7030">
      <w:pPr>
        <w:pStyle w:val="Heading2"/>
        <w:jc w:val="center"/>
        <w:rPr>
          <w:b/>
          <w:bCs/>
          <w:sz w:val="28"/>
          <w:szCs w:val="28"/>
          <w:u w:val="single"/>
        </w:rPr>
      </w:pPr>
    </w:p>
    <w:p w14:paraId="2C8DEE9D" w14:textId="678E2B3F" w:rsidR="000D7030" w:rsidRDefault="00C87DFA">
      <w:pPr>
        <w:pStyle w:val="P68B1DB1-Heading26"/>
      </w:pPr>
      <w:r>
        <w:t>An chéad dáta athbhreithnithe eile ar an mBeartas: [+12 Mhí]</w:t>
      </w:r>
    </w:p>
    <w:p w14:paraId="541DEE5F" w14:textId="77777777" w:rsidR="000D7030" w:rsidRDefault="000D7030"/>
    <w:p w14:paraId="33A5C2BB" w14:textId="700FF68A" w:rsidR="000D7030" w:rsidRDefault="00C87DFA">
      <w:pPr>
        <w:pStyle w:val="P68B1DB1-Heading27"/>
        <w:numPr>
          <w:ilvl w:val="0"/>
          <w:numId w:val="18"/>
        </w:numPr>
      </w:pPr>
      <w:r>
        <w:t>Réamhrá</w:t>
      </w:r>
    </w:p>
    <w:p w14:paraId="2F71F5C8" w14:textId="77777777" w:rsidR="000D7030" w:rsidRDefault="000D7030"/>
    <w:p w14:paraId="7E00ACF0" w14:textId="0C46A12D" w:rsidR="000D7030" w:rsidRDefault="00C87DFA">
      <w:pPr>
        <w:pStyle w:val="P68B1DB1-Normal5"/>
      </w:pPr>
      <w:r>
        <w:t xml:space="preserve">Tá an beartas ríomhbhaincéireachta seo a leanas ullmhaithe agus curtha i bhfeidhm ag an mbord mar chuid de </w:t>
      </w:r>
      <w:r>
        <w:t>nósanna imeachta rialaithe inmheánacha na scoileanna.</w:t>
      </w:r>
    </w:p>
    <w:p w14:paraId="066D1510" w14:textId="77777777" w:rsidR="000D7030" w:rsidRDefault="000D7030">
      <w:pPr>
        <w:rPr>
          <w:rFonts w:ascii="Tw Cen MT" w:hAnsi="Tw Cen MT"/>
          <w:sz w:val="26"/>
          <w:szCs w:val="26"/>
        </w:rPr>
      </w:pPr>
    </w:p>
    <w:p w14:paraId="401B9D05" w14:textId="44B72EB1" w:rsidR="000D7030" w:rsidRDefault="00C87DFA">
      <w:pPr>
        <w:pStyle w:val="P68B1DB1-ListParagraph8"/>
        <w:numPr>
          <w:ilvl w:val="0"/>
          <w:numId w:val="18"/>
        </w:numPr>
      </w:pPr>
      <w:r>
        <w:t>Treoracha don Ríomhbhaincéireacht</w:t>
      </w:r>
    </w:p>
    <w:bookmarkEnd w:id="0"/>
    <w:p w14:paraId="199E0142" w14:textId="77777777" w:rsidR="000D7030" w:rsidRDefault="000D7030">
      <w:pPr>
        <w:pStyle w:val="BodyText"/>
        <w:spacing w:before="3"/>
        <w:rPr>
          <w:rFonts w:ascii="Tw Cen MT" w:eastAsiaTheme="minorHAnsi" w:hAnsi="Tw Cen MT" w:cstheme="minorBidi"/>
          <w:sz w:val="26"/>
          <w:szCs w:val="26"/>
        </w:rPr>
      </w:pPr>
    </w:p>
    <w:tbl>
      <w:tblPr>
        <w:tblStyle w:val="TableGrid"/>
        <w:tblW w:w="9709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5740"/>
        <w:gridCol w:w="3969"/>
      </w:tblGrid>
      <w:tr w:rsidR="000D7030" w14:paraId="0F4424B4" w14:textId="77777777">
        <w:trPr>
          <w:trHeight w:val="802"/>
        </w:trPr>
        <w:tc>
          <w:tcPr>
            <w:tcW w:w="5740" w:type="dxa"/>
            <w:shd w:val="clear" w:color="auto" w:fill="BDD6EE" w:themeFill="accent5" w:themeFillTint="66"/>
          </w:tcPr>
          <w:p w14:paraId="639197E4" w14:textId="77777777" w:rsidR="000D7030" w:rsidRDefault="000D7030">
            <w:pPr>
              <w:pStyle w:val="TableParagraph"/>
              <w:ind w:left="175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  <w:bookmarkStart w:id="1" w:name="_Hlk103326806"/>
          </w:p>
          <w:p w14:paraId="39AB1177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52407884" w14:textId="0AE09E70" w:rsidR="000D7030" w:rsidRDefault="00C87DFA">
            <w:pPr>
              <w:pStyle w:val="P68B1DB1-TableParagraph9"/>
            </w:pPr>
            <w:r>
              <w:t xml:space="preserve">Ríomhbhaincéireacht 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14:paraId="5110AEF8" w14:textId="77777777" w:rsidR="000D7030" w:rsidRDefault="000D7030">
            <w:pPr>
              <w:pStyle w:val="TableParagraph"/>
              <w:spacing w:before="142"/>
              <w:ind w:right="229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031672F0" w14:textId="32ADCFFB" w:rsidR="000D7030" w:rsidRDefault="00C87DFA">
            <w:pPr>
              <w:pStyle w:val="P68B1DB1-TableParagraph9"/>
              <w:spacing w:before="142"/>
              <w:ind w:right="229"/>
            </w:pPr>
            <w:r>
              <w:t>Le déanamh:</w:t>
            </w:r>
          </w:p>
        </w:tc>
      </w:tr>
      <w:tr w:rsidR="000D7030" w14:paraId="2E1C161E" w14:textId="77777777">
        <w:trPr>
          <w:trHeight w:val="771"/>
        </w:trPr>
        <w:tc>
          <w:tcPr>
            <w:tcW w:w="5740" w:type="dxa"/>
          </w:tcPr>
          <w:p w14:paraId="013CE3F6" w14:textId="24A3A833" w:rsidR="000D7030" w:rsidRDefault="00C87DFA">
            <w:pPr>
              <w:pStyle w:val="P68B1DB1-NoSpacing10"/>
              <w:numPr>
                <w:ilvl w:val="0"/>
                <w:numId w:val="19"/>
              </w:numPr>
            </w:pPr>
            <w:r>
              <w:t>Na cuntais bhainc a mbeidh rochtain orthu sa chóras ríomhbhaincéireachta.</w:t>
            </w:r>
          </w:p>
        </w:tc>
        <w:tc>
          <w:tcPr>
            <w:tcW w:w="3969" w:type="dxa"/>
          </w:tcPr>
          <w:p w14:paraId="1D2C571E" w14:textId="77777777" w:rsidR="000D7030" w:rsidRDefault="00C87DFA">
            <w:pPr>
              <w:pStyle w:val="P68B1DB1-TableParagraph9"/>
            </w:pPr>
            <w:r>
              <w:t>Liostaigh cuntais bhainc:</w:t>
            </w:r>
          </w:p>
          <w:p w14:paraId="0E7F1332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525168F2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1E5E98E4" w14:textId="3C10246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</w:tc>
      </w:tr>
      <w:tr w:rsidR="000D7030" w14:paraId="6FC0CC03" w14:textId="77777777">
        <w:trPr>
          <w:trHeight w:val="771"/>
        </w:trPr>
        <w:tc>
          <w:tcPr>
            <w:tcW w:w="5740" w:type="dxa"/>
          </w:tcPr>
          <w:p w14:paraId="5CDB9D63" w14:textId="62E4D829" w:rsidR="000D7030" w:rsidRDefault="00C87DFA">
            <w:pPr>
              <w:pStyle w:val="P68B1DB1-NoSpacing10"/>
              <w:numPr>
                <w:ilvl w:val="0"/>
                <w:numId w:val="19"/>
              </w:numPr>
            </w:pPr>
            <w:r>
              <w:t xml:space="preserve">Ainmneacha na </w:t>
            </w:r>
            <w:r>
              <w:t>n-úsáideoirí údaraithe.</w:t>
            </w:r>
          </w:p>
        </w:tc>
        <w:tc>
          <w:tcPr>
            <w:tcW w:w="3969" w:type="dxa"/>
          </w:tcPr>
          <w:p w14:paraId="6B0EC302" w14:textId="662ADC04" w:rsidR="000D7030" w:rsidRDefault="00C87DFA">
            <w:pPr>
              <w:pStyle w:val="P68B1DB1-TableParagraph9"/>
            </w:pPr>
            <w:r>
              <w:t>Liostaigh úsáideoirí agus a ról laistigh den scoil/BB:</w:t>
            </w:r>
          </w:p>
          <w:p w14:paraId="56041F70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0F8923CC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4269CBEB" w14:textId="7736E200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</w:tc>
      </w:tr>
      <w:tr w:rsidR="000D7030" w14:paraId="0BA1BBE8" w14:textId="77777777">
        <w:trPr>
          <w:trHeight w:val="771"/>
        </w:trPr>
        <w:tc>
          <w:tcPr>
            <w:tcW w:w="5740" w:type="dxa"/>
          </w:tcPr>
          <w:p w14:paraId="708CF7C8" w14:textId="77777777" w:rsidR="000D7030" w:rsidRDefault="00C87DFA">
            <w:pPr>
              <w:pStyle w:val="P68B1DB1-NoSpacing10"/>
              <w:numPr>
                <w:ilvl w:val="0"/>
                <w:numId w:val="19"/>
              </w:numPr>
            </w:pPr>
            <w:r>
              <w:t>Rochtain úsáideoirí ar fheidhmeanna an chórais de réir úsáideoirí aonair.</w:t>
            </w:r>
          </w:p>
          <w:p w14:paraId="44BA720D" w14:textId="1547818A" w:rsidR="000D7030" w:rsidRDefault="00C87DFA">
            <w:pPr>
              <w:pStyle w:val="P68B1DB1-NoSpacing10"/>
              <w:ind w:left="360"/>
            </w:pPr>
            <w:r>
              <w:t xml:space="preserve">Ba chóir go mbeadh sonraí sa bheartas faoi na húsáideoirí agus a róil maidir le húsáid an </w:t>
            </w:r>
            <w:r>
              <w:t>chórais: m.sh., amharc amháin, priontáil, údaraigh íocaíochtaí, cuntais nua a chur leis, cuntais a scriosadh, buanorduithe / dochair dhíreacha a chumrú srl.</w:t>
            </w:r>
          </w:p>
          <w:p w14:paraId="525F8088" w14:textId="75403EA6" w:rsidR="000D7030" w:rsidRDefault="00C87DFA">
            <w:pPr>
              <w:pStyle w:val="P68B1DB1-NoSpacing10"/>
              <w:ind w:left="360"/>
            </w:pPr>
            <w:r>
              <w:t>m.sh., féadfaidh úsáideoir amháin íocaíocht a ionchur sa chóras ach ní féidir leis a bheith ar dhui</w:t>
            </w:r>
            <w:r>
              <w:t xml:space="preserve">ne den bheirt cheadaitheoir údaraithe íocaíochtaí agus dá bhrí sin ní féidir leis an íocaíocht a údarú. Sula ndéantar íocaíochtaí a phróiseáil, is faoi na daoine aonair atá údaraithe chun íocaíochtaí a cheadú atá sé a chinntiú go </w:t>
            </w:r>
            <w:r>
              <w:lastRenderedPageBreak/>
              <w:t>ndearnadh seiceálacha leor</w:t>
            </w:r>
            <w:r>
              <w:t>dhóthanacha agus go n-aistrítear íocaíochtaí chuig na cuntais bhainc chearta, i gcomhréir leis an mbeartas.</w:t>
            </w:r>
          </w:p>
        </w:tc>
        <w:tc>
          <w:tcPr>
            <w:tcW w:w="3969" w:type="dxa"/>
          </w:tcPr>
          <w:p w14:paraId="1371B10B" w14:textId="54EC85A9" w:rsidR="000D7030" w:rsidRDefault="00C87DFA">
            <w:pPr>
              <w:pStyle w:val="P68B1DB1-TableParagraph9"/>
            </w:pPr>
            <w:r>
              <w:lastRenderedPageBreak/>
              <w:t>Liostaigh úsáideoirí agus a gcearta rochtana srl:</w:t>
            </w:r>
          </w:p>
        </w:tc>
      </w:tr>
      <w:tr w:rsidR="000D7030" w14:paraId="19C0AE58" w14:textId="77777777">
        <w:trPr>
          <w:trHeight w:val="771"/>
        </w:trPr>
        <w:tc>
          <w:tcPr>
            <w:tcW w:w="5740" w:type="dxa"/>
          </w:tcPr>
          <w:p w14:paraId="57CB06CB" w14:textId="0B1D537C" w:rsidR="000D7030" w:rsidRDefault="00C87DFA">
            <w:pPr>
              <w:pStyle w:val="P68B1DB1-NoSpacing10"/>
              <w:numPr>
                <w:ilvl w:val="0"/>
                <w:numId w:val="19"/>
              </w:numPr>
            </w:pPr>
            <w:r>
              <w:t xml:space="preserve">I gcás </w:t>
            </w:r>
            <w:r>
              <w:rPr>
                <w:b/>
                <w:bCs/>
              </w:rPr>
              <w:t>Bunscoileanna</w:t>
            </w:r>
            <w:r>
              <w:t>, is iad an cathaoirleach agus an cisteoir beirt na daoine údaraithe sin. Féa</w:t>
            </w:r>
            <w:r>
              <w:t>dfaidh an cathaoirleach a (h)údarás a tharmligean chuig comhalta boird eile de réir an lámhleabhair rialachais.</w:t>
            </w:r>
          </w:p>
          <w:p w14:paraId="1AA1E815" w14:textId="77777777" w:rsidR="003349A6" w:rsidRDefault="003349A6">
            <w:pPr>
              <w:pStyle w:val="P68B1DB1-NoSpacing10"/>
              <w:ind w:left="360"/>
            </w:pPr>
          </w:p>
          <w:p w14:paraId="1398E39C" w14:textId="57B37525" w:rsidR="000D7030" w:rsidRDefault="00C87DFA">
            <w:pPr>
              <w:pStyle w:val="P68B1DB1-NoSpacing10"/>
              <w:ind w:left="360"/>
            </w:pPr>
            <w:r>
              <w:t xml:space="preserve">I </w:t>
            </w:r>
            <w:proofErr w:type="spellStart"/>
            <w:r>
              <w:rPr>
                <w:b/>
                <w:bCs/>
              </w:rPr>
              <w:t>Meánscoileanna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Deonacha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Pobalscoileanna agus Scoileanna Cuimsitheacha</w:t>
            </w:r>
            <w:r>
              <w:t>, is iad an Príomhoide agus duine amháin eile arna ainmniú ag an mbo</w:t>
            </w:r>
            <w:r>
              <w:t>rd na húdaraitheoirí.</w:t>
            </w:r>
          </w:p>
        </w:tc>
        <w:tc>
          <w:tcPr>
            <w:tcW w:w="3969" w:type="dxa"/>
          </w:tcPr>
          <w:p w14:paraId="405F432B" w14:textId="734136D0" w:rsidR="000D7030" w:rsidRDefault="00C87DFA">
            <w:pPr>
              <w:pStyle w:val="P68B1DB1-TableParagraph11"/>
            </w:pPr>
            <w:r>
              <w:rPr>
                <w:b/>
                <w:bCs/>
              </w:rPr>
              <w:t>Liostaigh baill den Bhord Bainistíochta atá údaraithe chun íocaíochtaí a cheadú</w:t>
            </w:r>
            <w:r>
              <w:t>:</w:t>
            </w:r>
          </w:p>
          <w:p w14:paraId="06B164ED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sz w:val="26"/>
                <w:szCs w:val="26"/>
              </w:rPr>
            </w:pPr>
          </w:p>
          <w:p w14:paraId="76D2A4BF" w14:textId="77777777" w:rsidR="000D7030" w:rsidRPr="003349A6" w:rsidRDefault="000D7030">
            <w:pPr>
              <w:pStyle w:val="TableParagraph"/>
              <w:rPr>
                <w:rFonts w:ascii="Tw Cen MT" w:eastAsiaTheme="minorHAnsi" w:hAnsi="Tw Cen MT" w:cstheme="minorBidi"/>
                <w:sz w:val="4"/>
                <w:szCs w:val="26"/>
              </w:rPr>
            </w:pPr>
          </w:p>
          <w:p w14:paraId="74988203" w14:textId="505126B9" w:rsidR="000D7030" w:rsidRDefault="00C87DFA" w:rsidP="003349A6">
            <w:pPr>
              <w:pStyle w:val="P68B1DB1-ListParagraph12"/>
              <w:ind w:left="68"/>
            </w:pPr>
            <w:bookmarkStart w:id="2" w:name="_GoBack"/>
            <w:r>
              <w:t xml:space="preserve">I gcomhréir leis </w:t>
            </w:r>
            <w:proofErr w:type="gramStart"/>
            <w:r>
              <w:t>an</w:t>
            </w:r>
            <w:proofErr w:type="gramEnd"/>
            <w:r>
              <w:t xml:space="preserve"> dea-chleachtas airgeadais agus coincheap an dealaithe dualgas, ní féidir leis an duine atá ag cur isteach na </w:t>
            </w:r>
            <w:r>
              <w:t xml:space="preserve">híocaíochta a bheith ar dhuine díobh siúd a dhéanann an </w:t>
            </w:r>
            <w:proofErr w:type="spellStart"/>
            <w:r>
              <w:t>íocaíocht</w:t>
            </w:r>
            <w:proofErr w:type="spellEnd"/>
            <w:r>
              <w:t xml:space="preserve"> a </w:t>
            </w:r>
            <w:proofErr w:type="spellStart"/>
            <w:r>
              <w:t>cheadú</w:t>
            </w:r>
            <w:proofErr w:type="spellEnd"/>
            <w:r>
              <w:t>.</w:t>
            </w:r>
            <w:bookmarkEnd w:id="2"/>
          </w:p>
        </w:tc>
      </w:tr>
      <w:tr w:rsidR="000D7030" w14:paraId="0431F780" w14:textId="77777777">
        <w:trPr>
          <w:trHeight w:val="771"/>
        </w:trPr>
        <w:tc>
          <w:tcPr>
            <w:tcW w:w="5740" w:type="dxa"/>
          </w:tcPr>
          <w:p w14:paraId="70362364" w14:textId="08127AD5" w:rsidR="000D7030" w:rsidRDefault="00C87DFA">
            <w:pPr>
              <w:pStyle w:val="P68B1DB1-TableParagraph11"/>
              <w:numPr>
                <w:ilvl w:val="0"/>
                <w:numId w:val="19"/>
              </w:numPr>
              <w:spacing w:before="123" w:line="237" w:lineRule="auto"/>
              <w:ind w:right="815"/>
            </w:pPr>
            <w:r>
              <w:t>Ní mór don Bhord cuimsiú cuntas bainc nua sa chóras agus baint seanchuntas den chóras a cheadú.</w:t>
            </w:r>
          </w:p>
          <w:p w14:paraId="17DEA61A" w14:textId="4F4DA169" w:rsidR="000D7030" w:rsidRDefault="000D7030">
            <w:pPr>
              <w:pStyle w:val="TableParagraph"/>
              <w:spacing w:before="123" w:line="237" w:lineRule="auto"/>
              <w:ind w:left="720" w:right="815"/>
              <w:rPr>
                <w:rFonts w:ascii="Tw Cen MT" w:eastAsiaTheme="minorHAnsi" w:hAnsi="Tw Cen MT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26733AF" w14:textId="77777777" w:rsidR="000D7030" w:rsidRDefault="00C87DFA">
            <w:pPr>
              <w:pStyle w:val="P68B1DB1-TableParagraph9"/>
            </w:pPr>
            <w:r>
              <w:t>Ceadú faighte agus miontuairiscithe ag:</w:t>
            </w:r>
          </w:p>
          <w:p w14:paraId="4CCC39E6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20601C3A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63530D4C" w14:textId="3F57A4F5" w:rsidR="000D7030" w:rsidRDefault="00C87DFA">
            <w:pPr>
              <w:pStyle w:val="P68B1DB1-TableParagraph9"/>
            </w:pPr>
            <w:r>
              <w:t>Dáta:</w:t>
            </w:r>
          </w:p>
        </w:tc>
      </w:tr>
      <w:tr w:rsidR="000D7030" w14:paraId="5C7256C3" w14:textId="77777777">
        <w:trPr>
          <w:trHeight w:val="771"/>
        </w:trPr>
        <w:tc>
          <w:tcPr>
            <w:tcW w:w="5740" w:type="dxa"/>
          </w:tcPr>
          <w:p w14:paraId="53F28EC0" w14:textId="104E559D" w:rsidR="000D7030" w:rsidRDefault="00C87DFA">
            <w:pPr>
              <w:pStyle w:val="P68B1DB1-ListParagraph12"/>
              <w:numPr>
                <w:ilvl w:val="0"/>
                <w:numId w:val="19"/>
              </w:numPr>
            </w:pPr>
            <w:r>
              <w:t>I gcás tairseacha i ndáil leis a</w:t>
            </w:r>
            <w:r>
              <w:t>n luach euro a bhaineann le hidirbhearta in aghaidh an lae / na seachtaine / na míosa / an úsáideora údaraithe, ní foláir go ndéanfadh an Bord iad a cheadú agus a shocrú ag leibhéal réadúil, agus na meánchostais phárolla athfhillteacha á gcur san áireamh.</w:t>
            </w:r>
          </w:p>
        </w:tc>
        <w:tc>
          <w:tcPr>
            <w:tcW w:w="3969" w:type="dxa"/>
          </w:tcPr>
          <w:p w14:paraId="15D30BA4" w14:textId="47FF0263" w:rsidR="000D7030" w:rsidRDefault="00C87DFA">
            <w:pPr>
              <w:pStyle w:val="P68B1DB1-TableParagraph9"/>
            </w:pPr>
            <w:r>
              <w:t>Sonraigh na teorainneacha:</w:t>
            </w:r>
          </w:p>
        </w:tc>
      </w:tr>
      <w:tr w:rsidR="000D7030" w14:paraId="75A67ADE" w14:textId="77777777">
        <w:trPr>
          <w:trHeight w:val="1299"/>
        </w:trPr>
        <w:tc>
          <w:tcPr>
            <w:tcW w:w="5740" w:type="dxa"/>
          </w:tcPr>
          <w:p w14:paraId="535B6046" w14:textId="3497111C" w:rsidR="000D7030" w:rsidRDefault="00C87DFA">
            <w:pPr>
              <w:pStyle w:val="P68B1DB1-ListParagraph12"/>
              <w:numPr>
                <w:ilvl w:val="0"/>
                <w:numId w:val="19"/>
              </w:numPr>
            </w:pPr>
            <w:r>
              <w:t>Ní mór go leagfaí amach rialuithe slándála maidir le rochtain ar an gcóras agus maidir le pasfhocail.</w:t>
            </w:r>
          </w:p>
        </w:tc>
        <w:tc>
          <w:tcPr>
            <w:tcW w:w="3969" w:type="dxa"/>
          </w:tcPr>
          <w:p w14:paraId="6717F79F" w14:textId="77777777" w:rsidR="000D7030" w:rsidRDefault="00C87DFA">
            <w:pPr>
              <w:pStyle w:val="P68B1DB1-TableParagraph9"/>
            </w:pPr>
            <w:r>
              <w:t xml:space="preserve">Sonraigh na rialuithe slándála atá i bhfeidhm faoi láthair: </w:t>
            </w:r>
          </w:p>
          <w:p w14:paraId="29AB2D72" w14:textId="77777777" w:rsidR="000D7030" w:rsidRDefault="000D7030">
            <w:pPr>
              <w:pStyle w:val="TableParagraph"/>
              <w:rPr>
                <w:rFonts w:ascii="Tw Cen MT" w:eastAsiaTheme="minorHAnsi" w:hAnsi="Tw Cen MT" w:cstheme="minorBidi"/>
                <w:b/>
                <w:bCs/>
                <w:sz w:val="26"/>
                <w:szCs w:val="26"/>
              </w:rPr>
            </w:pPr>
          </w:p>
          <w:p w14:paraId="436784EA" w14:textId="77777777" w:rsidR="000D7030" w:rsidRDefault="00C87DFA">
            <w:pPr>
              <w:pStyle w:val="P68B1DB1-TableParagraph9"/>
              <w:numPr>
                <w:ilvl w:val="0"/>
                <w:numId w:val="22"/>
              </w:numPr>
              <w:ind w:left="358"/>
            </w:pPr>
            <w:r>
              <w:t xml:space="preserve">Níor cheart go ndéanfaí aon phasfhocail / ainmneacha </w:t>
            </w:r>
            <w:r>
              <w:t>úsáideora / chóid le haghaidh an chórais ríomhbhaincéireachta a stóráil i dtimpeallacht na hoifige.</w:t>
            </w:r>
          </w:p>
          <w:p w14:paraId="32F2419B" w14:textId="5C5E1BE8" w:rsidR="000D7030" w:rsidRDefault="00C87DFA">
            <w:pPr>
              <w:pStyle w:val="P68B1DB1-TableParagraph9"/>
              <w:numPr>
                <w:ilvl w:val="0"/>
                <w:numId w:val="22"/>
              </w:numPr>
              <w:ind w:left="358"/>
            </w:pPr>
            <w:r>
              <w:t>Níor cheart go mbeadh pasfhocail / ainmneacha úsáideora / cóid le haghaidh an chórais ríomhbhaincéireachta ar eolas ach ag an úsáideoir féin agus, ar an ábh</w:t>
            </w:r>
            <w:r>
              <w:t xml:space="preserve">ar sin, ní ceadmhach iad a roinnt idir úsáideoirí aonair in aon chás. Ba cheart go mbeidís uathúil agus go mbainfidís go sonrach le húsáideoirí údaraithe ar leith ar an gcóras </w:t>
            </w:r>
            <w:r>
              <w:lastRenderedPageBreak/>
              <w:t>ríomhbhaincéireachta.</w:t>
            </w:r>
          </w:p>
          <w:p w14:paraId="73894EF1" w14:textId="664A410D" w:rsidR="000D7030" w:rsidRDefault="00C87DFA">
            <w:pPr>
              <w:pStyle w:val="P68B1DB1-TableParagraph9"/>
              <w:numPr>
                <w:ilvl w:val="0"/>
                <w:numId w:val="22"/>
              </w:numPr>
              <w:ind w:left="358"/>
            </w:pPr>
            <w:r>
              <w:t>Aon ghléasanna láimhe leictreonacha faoi leith atá ina gcu</w:t>
            </w:r>
            <w:r>
              <w:t>id den chóras baincéireachta, ba cheart iad a stóráil faoi ghlas.</w:t>
            </w:r>
          </w:p>
        </w:tc>
      </w:tr>
      <w:tr w:rsidR="000D7030" w14:paraId="58CB8C72" w14:textId="77777777">
        <w:trPr>
          <w:trHeight w:val="1299"/>
        </w:trPr>
        <w:tc>
          <w:tcPr>
            <w:tcW w:w="5740" w:type="dxa"/>
          </w:tcPr>
          <w:p w14:paraId="46AC66CE" w14:textId="1FF35004" w:rsidR="000D7030" w:rsidRDefault="00C87DFA">
            <w:pPr>
              <w:pStyle w:val="P68B1DB1-ListParagraph12"/>
              <w:numPr>
                <w:ilvl w:val="0"/>
                <w:numId w:val="19"/>
              </w:numPr>
            </w:pPr>
            <w:r>
              <w:lastRenderedPageBreak/>
              <w:t xml:space="preserve"> Bearta slándála maidir le sonraí bainc an íocaí a chumrú nó a athrú</w:t>
            </w:r>
          </w:p>
        </w:tc>
        <w:tc>
          <w:tcPr>
            <w:tcW w:w="3969" w:type="dxa"/>
          </w:tcPr>
          <w:p w14:paraId="3361B490" w14:textId="2E6D7A42" w:rsidR="000D7030" w:rsidRDefault="00C87DFA">
            <w:pPr>
              <w:pStyle w:val="P68B1DB1-TableParagraph13"/>
              <w:numPr>
                <w:ilvl w:val="0"/>
                <w:numId w:val="21"/>
              </w:numPr>
              <w:ind w:left="352"/>
            </w:pPr>
            <w:r>
              <w:t>Ba cheart doiciméid sonraí bainc d’íocaithe nua agus iarratais ar athruithe ar shonraí íocaí a choinneáil i gcomhad.</w:t>
            </w:r>
          </w:p>
          <w:p w14:paraId="4384D31F" w14:textId="24762EB2" w:rsidR="000D7030" w:rsidRDefault="00C87DFA">
            <w:pPr>
              <w:pStyle w:val="P68B1DB1-TableParagraph13"/>
              <w:numPr>
                <w:ilvl w:val="0"/>
                <w:numId w:val="21"/>
              </w:numPr>
              <w:ind w:left="352"/>
            </w:pPr>
            <w:r>
              <w:t xml:space="preserve">Ní </w:t>
            </w:r>
            <w:r>
              <w:t>mór sonraí bainc nua nó aon athruithe ar shonraí an íocaí a dheimhniú trí ghlao gutháin chuig teagmhálaí aitheanta ag an soláthraí, nó go pearsanta.</w:t>
            </w:r>
          </w:p>
          <w:p w14:paraId="7E13DC27" w14:textId="1D0B74F8" w:rsidR="000D7030" w:rsidRDefault="00C87DFA">
            <w:pPr>
              <w:pStyle w:val="P68B1DB1-TableParagraph13"/>
              <w:numPr>
                <w:ilvl w:val="0"/>
                <w:numId w:val="21"/>
              </w:numPr>
              <w:ind w:left="352"/>
            </w:pPr>
            <w:r>
              <w:t xml:space="preserve">Ní mór don bheirt údaraitheoir sonraí bainc nua nó aon athruithe ar shonraí an íocaí a cheadú sula </w:t>
            </w:r>
            <w:r>
              <w:t>ndéantar aon athruithe.</w:t>
            </w:r>
          </w:p>
          <w:p w14:paraId="5EF0D941" w14:textId="1B9D8045" w:rsidR="000D7030" w:rsidRDefault="00C87DFA">
            <w:pPr>
              <w:pStyle w:val="P68B1DB1-ListParagraph14"/>
              <w:numPr>
                <w:ilvl w:val="0"/>
                <w:numId w:val="21"/>
              </w:numPr>
              <w:ind w:left="352"/>
              <w:rPr>
                <w:sz w:val="26"/>
              </w:rPr>
            </w:pPr>
            <w:r>
              <w:rPr>
                <w:sz w:val="24"/>
              </w:rPr>
              <w:t>Caithfear a bheith san airdeall nuair a fhaightear ríomhphost ó sholáthraí, mar dhea, ina bhfuil sé ag iarraidh go ndéanfaí a chuid sonraí bainc a athrú. Ba cheart go mbeadh teorainn leis an méid teagmhála a dhéantar tríd an ríomhph</w:t>
            </w:r>
            <w:r>
              <w:rPr>
                <w:sz w:val="24"/>
              </w:rPr>
              <w:t xml:space="preserve">ost ar an gceist seo toisc gurb iondúil gur tríd an ríomhphost a  </w:t>
            </w:r>
            <w:r>
              <w:t xml:space="preserve">chuirtear tús le </w:t>
            </w:r>
            <w:r>
              <w:rPr>
                <w:sz w:val="24"/>
              </w:rPr>
              <w:t xml:space="preserve">gníomhaíocht chalaoiseach den chineál seo. </w:t>
            </w:r>
          </w:p>
        </w:tc>
      </w:tr>
      <w:bookmarkEnd w:id="1"/>
    </w:tbl>
    <w:p w14:paraId="6BA06CC3" w14:textId="48DA456C" w:rsidR="000D7030" w:rsidRDefault="000D7030">
      <w:pPr>
        <w:rPr>
          <w:rFonts w:ascii="Tw Cen MT" w:hAnsi="Tw Cen MT"/>
          <w:sz w:val="26"/>
          <w:szCs w:val="26"/>
        </w:rPr>
      </w:pPr>
    </w:p>
    <w:p w14:paraId="00F5582D" w14:textId="78A61FEA" w:rsidR="000D7030" w:rsidRDefault="00C87DFA">
      <w:pPr>
        <w:pStyle w:val="P68B1DB1-ListParagraph8"/>
        <w:numPr>
          <w:ilvl w:val="0"/>
          <w:numId w:val="18"/>
        </w:numPr>
        <w:spacing w:line="256" w:lineRule="auto"/>
      </w:pPr>
      <w:r>
        <w:t>Teagmhálaithe:</w:t>
      </w:r>
    </w:p>
    <w:p w14:paraId="384C0CD0" w14:textId="79CB118F" w:rsidR="000D7030" w:rsidRPr="00C87DFA" w:rsidRDefault="00C87DFA" w:rsidP="00C87DFA">
      <w:pPr>
        <w:pStyle w:val="P68B1DB1-Normal5"/>
        <w:spacing w:line="256" w:lineRule="auto"/>
      </w:pPr>
      <w:proofErr w:type="spellStart"/>
      <w:r>
        <w:t>Má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cheist</w:t>
      </w:r>
      <w:proofErr w:type="spellEnd"/>
      <w:r>
        <w:t xml:space="preserve"> agat faoin mbeartas seo, déan </w:t>
      </w:r>
      <w:proofErr w:type="spellStart"/>
      <w:r>
        <w:t>teagmháil</w:t>
      </w:r>
      <w:proofErr w:type="spellEnd"/>
      <w:r>
        <w:t xml:space="preserve"> leis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le </w:t>
      </w:r>
      <w:r>
        <w:rPr>
          <w:highlight w:val="yellow"/>
        </w:rPr>
        <w:t>[</w:t>
      </w:r>
      <w:proofErr w:type="spellStart"/>
      <w:r>
        <w:rPr>
          <w:highlight w:val="yellow"/>
        </w:rPr>
        <w:t>cuir</w:t>
      </w:r>
      <w:proofErr w:type="spellEnd"/>
      <w:r>
        <w:rPr>
          <w:highlight w:val="yellow"/>
        </w:rPr>
        <w:t xml:space="preserve"> isteach ainm an duine/ról]</w:t>
      </w:r>
      <w:r>
        <w:t xml:space="preserve"> ag </w:t>
      </w:r>
      <w:r>
        <w:rPr>
          <w:highlight w:val="yellow"/>
        </w:rPr>
        <w:t>[</w:t>
      </w:r>
      <w:proofErr w:type="spellStart"/>
      <w:r>
        <w:rPr>
          <w:highlight w:val="yellow"/>
        </w:rPr>
        <w:t>cuir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isteach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mionsonraí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teagmhála</w:t>
      </w:r>
      <w:proofErr w:type="spellEnd"/>
      <w:r>
        <w:t>].</w:t>
      </w:r>
    </w:p>
    <w:p w14:paraId="654DC943" w14:textId="6DDD23CE" w:rsidR="000D7030" w:rsidRDefault="00C87DFA" w:rsidP="003349A6">
      <w:pPr>
        <w:pStyle w:val="P68B1DB1-Normal15"/>
        <w:numPr>
          <w:ilvl w:val="0"/>
          <w:numId w:val="18"/>
        </w:numPr>
        <w:spacing w:line="256" w:lineRule="auto"/>
      </w:pPr>
      <w:proofErr w:type="spellStart"/>
      <w:r>
        <w:t>A</w:t>
      </w:r>
      <w:r>
        <w:t>thbhreithniú</w:t>
      </w:r>
      <w:proofErr w:type="spellEnd"/>
      <w:r>
        <w:t xml:space="preserve"> </w:t>
      </w:r>
      <w:proofErr w:type="spellStart"/>
      <w:r>
        <w:t>Beartais</w:t>
      </w:r>
      <w:proofErr w:type="spellEnd"/>
      <w:r>
        <w:t>:</w:t>
      </w:r>
    </w:p>
    <w:p w14:paraId="5CD184E0" w14:textId="77777777" w:rsidR="003349A6" w:rsidRPr="003349A6" w:rsidRDefault="00C87DFA" w:rsidP="003349A6">
      <w:pPr>
        <w:pStyle w:val="NoSpacing"/>
        <w:rPr>
          <w:sz w:val="25"/>
          <w:szCs w:val="25"/>
        </w:rPr>
      </w:pPr>
      <w:r w:rsidRPr="003349A6">
        <w:rPr>
          <w:sz w:val="25"/>
          <w:szCs w:val="25"/>
        </w:rPr>
        <w:t>Ba cheart go ndéanfaí athbhreithniú agus, nuair is cuí, nuashonr</w:t>
      </w:r>
      <w:r w:rsidRPr="003349A6">
        <w:rPr>
          <w:sz w:val="25"/>
          <w:szCs w:val="25"/>
        </w:rPr>
        <w:t xml:space="preserve">ú </w:t>
      </w:r>
      <w:proofErr w:type="spellStart"/>
      <w:r w:rsidRPr="003349A6">
        <w:rPr>
          <w:sz w:val="25"/>
          <w:szCs w:val="25"/>
        </w:rPr>
        <w:t>ar</w:t>
      </w:r>
      <w:proofErr w:type="spellEnd"/>
      <w:r w:rsidRPr="003349A6">
        <w:rPr>
          <w:sz w:val="25"/>
          <w:szCs w:val="25"/>
        </w:rPr>
        <w:t xml:space="preserve"> an </w:t>
      </w:r>
      <w:proofErr w:type="spellStart"/>
      <w:r w:rsidRPr="003349A6">
        <w:rPr>
          <w:sz w:val="25"/>
          <w:szCs w:val="25"/>
        </w:rPr>
        <w:t>mbeartas</w:t>
      </w:r>
      <w:proofErr w:type="spellEnd"/>
      <w:r w:rsidRPr="003349A6">
        <w:rPr>
          <w:sz w:val="25"/>
          <w:szCs w:val="25"/>
        </w:rPr>
        <w:t xml:space="preserve"> </w:t>
      </w:r>
      <w:proofErr w:type="spellStart"/>
      <w:r w:rsidRPr="003349A6">
        <w:rPr>
          <w:sz w:val="25"/>
          <w:szCs w:val="25"/>
        </w:rPr>
        <w:t>uair</w:t>
      </w:r>
      <w:proofErr w:type="spellEnd"/>
    </w:p>
    <w:p w14:paraId="4658AB29" w14:textId="77777777" w:rsidR="003349A6" w:rsidRPr="003349A6" w:rsidRDefault="00C87DFA" w:rsidP="003349A6">
      <w:pPr>
        <w:pStyle w:val="NoSpacing"/>
        <w:rPr>
          <w:sz w:val="25"/>
          <w:szCs w:val="25"/>
        </w:rPr>
      </w:pPr>
      <w:proofErr w:type="spellStart"/>
      <w:r w:rsidRPr="003349A6">
        <w:rPr>
          <w:sz w:val="25"/>
          <w:szCs w:val="25"/>
        </w:rPr>
        <w:t>sa</w:t>
      </w:r>
      <w:proofErr w:type="spellEnd"/>
      <w:r w:rsidRPr="003349A6">
        <w:rPr>
          <w:sz w:val="25"/>
          <w:szCs w:val="25"/>
        </w:rPr>
        <w:t xml:space="preserve"> </w:t>
      </w:r>
      <w:proofErr w:type="spellStart"/>
      <w:r w:rsidRPr="003349A6">
        <w:rPr>
          <w:sz w:val="25"/>
          <w:szCs w:val="25"/>
        </w:rPr>
        <w:t>bhliain</w:t>
      </w:r>
      <w:proofErr w:type="spellEnd"/>
      <w:r w:rsidRPr="003349A6">
        <w:rPr>
          <w:sz w:val="25"/>
          <w:szCs w:val="25"/>
        </w:rPr>
        <w:t xml:space="preserve"> </w:t>
      </w:r>
      <w:proofErr w:type="spellStart"/>
      <w:r w:rsidRPr="003349A6">
        <w:rPr>
          <w:sz w:val="25"/>
          <w:szCs w:val="25"/>
        </w:rPr>
        <w:t>ar</w:t>
      </w:r>
      <w:proofErr w:type="spellEnd"/>
      <w:r w:rsidRPr="003349A6">
        <w:rPr>
          <w:sz w:val="25"/>
          <w:szCs w:val="25"/>
        </w:rPr>
        <w:t xml:space="preserve"> a </w:t>
      </w:r>
      <w:proofErr w:type="spellStart"/>
      <w:r w:rsidRPr="003349A6">
        <w:rPr>
          <w:sz w:val="25"/>
          <w:szCs w:val="25"/>
        </w:rPr>
        <w:t>laghad</w:t>
      </w:r>
      <w:proofErr w:type="spellEnd"/>
      <w:r w:rsidRPr="003349A6">
        <w:rPr>
          <w:sz w:val="25"/>
          <w:szCs w:val="25"/>
        </w:rPr>
        <w:t xml:space="preserve">. Moltar torthaí an athbhreithnithe sin a </w:t>
      </w:r>
      <w:proofErr w:type="spellStart"/>
      <w:r w:rsidRPr="003349A6">
        <w:rPr>
          <w:sz w:val="25"/>
          <w:szCs w:val="25"/>
        </w:rPr>
        <w:t>cheadú</w:t>
      </w:r>
      <w:proofErr w:type="spellEnd"/>
      <w:r w:rsidRPr="003349A6">
        <w:rPr>
          <w:sz w:val="25"/>
          <w:szCs w:val="25"/>
        </w:rPr>
        <w:t xml:space="preserve"> </w:t>
      </w:r>
      <w:proofErr w:type="spellStart"/>
      <w:r w:rsidRPr="003349A6">
        <w:rPr>
          <w:sz w:val="25"/>
          <w:szCs w:val="25"/>
        </w:rPr>
        <w:t>agus</w:t>
      </w:r>
      <w:proofErr w:type="spellEnd"/>
      <w:r w:rsidRPr="003349A6">
        <w:rPr>
          <w:sz w:val="25"/>
          <w:szCs w:val="25"/>
        </w:rPr>
        <w:t xml:space="preserve"> </w:t>
      </w:r>
      <w:proofErr w:type="spellStart"/>
      <w:r w:rsidRPr="003349A6">
        <w:rPr>
          <w:sz w:val="25"/>
          <w:szCs w:val="25"/>
        </w:rPr>
        <w:t>nóta</w:t>
      </w:r>
      <w:proofErr w:type="spellEnd"/>
      <w:r w:rsidRPr="003349A6">
        <w:rPr>
          <w:sz w:val="25"/>
          <w:szCs w:val="25"/>
        </w:rPr>
        <w:t xml:space="preserve"> a</w:t>
      </w:r>
    </w:p>
    <w:p w14:paraId="742EF71D" w14:textId="6C8BB2D6" w:rsidR="000D7030" w:rsidRPr="003349A6" w:rsidRDefault="00C87DFA" w:rsidP="003349A6">
      <w:pPr>
        <w:pStyle w:val="NoSpacing"/>
        <w:rPr>
          <w:sz w:val="25"/>
          <w:szCs w:val="25"/>
        </w:rPr>
      </w:pPr>
      <w:proofErr w:type="spellStart"/>
      <w:r w:rsidRPr="003349A6">
        <w:rPr>
          <w:sz w:val="25"/>
          <w:szCs w:val="25"/>
        </w:rPr>
        <w:t>dhéanamh</w:t>
      </w:r>
      <w:proofErr w:type="spellEnd"/>
      <w:r w:rsidRPr="003349A6">
        <w:rPr>
          <w:sz w:val="25"/>
          <w:szCs w:val="25"/>
        </w:rPr>
        <w:t xml:space="preserve"> díobh i </w:t>
      </w:r>
      <w:proofErr w:type="spellStart"/>
      <w:r w:rsidRPr="003349A6">
        <w:rPr>
          <w:sz w:val="25"/>
          <w:szCs w:val="25"/>
        </w:rPr>
        <w:t>miontuairiscí</w:t>
      </w:r>
      <w:proofErr w:type="spellEnd"/>
      <w:r w:rsidRPr="003349A6">
        <w:rPr>
          <w:sz w:val="25"/>
          <w:szCs w:val="25"/>
        </w:rPr>
        <w:t xml:space="preserve"> an </w:t>
      </w:r>
      <w:proofErr w:type="spellStart"/>
      <w:r w:rsidRPr="003349A6">
        <w:rPr>
          <w:sz w:val="25"/>
          <w:szCs w:val="25"/>
        </w:rPr>
        <w:t>Bhoird</w:t>
      </w:r>
      <w:proofErr w:type="spellEnd"/>
      <w:r w:rsidRPr="003349A6">
        <w:rPr>
          <w:sz w:val="25"/>
          <w:szCs w:val="25"/>
        </w:rPr>
        <w:t>.</w:t>
      </w:r>
    </w:p>
    <w:p w14:paraId="48CB0354" w14:textId="77777777" w:rsidR="000D7030" w:rsidRDefault="000D7030">
      <w:pPr>
        <w:spacing w:line="256" w:lineRule="auto"/>
        <w:ind w:left="284"/>
        <w:rPr>
          <w:rFonts w:ascii="Tw Cen MT" w:hAnsi="Tw Cen MT"/>
          <w:color w:val="FF0000"/>
          <w:sz w:val="26"/>
          <w:szCs w:val="26"/>
        </w:rPr>
      </w:pPr>
    </w:p>
    <w:p w14:paraId="7F9FFF36" w14:textId="7E6D8485" w:rsidR="000D7030" w:rsidRDefault="00C87DFA" w:rsidP="00C87DFA">
      <w:pPr>
        <w:pStyle w:val="P68B1DB1-Normal5"/>
        <w:spacing w:line="256" w:lineRule="auto"/>
        <w:ind w:left="284" w:hanging="284"/>
      </w:pPr>
      <w:r>
        <w:t xml:space="preserve">Arna ghlacadh ag an </w:t>
      </w:r>
      <w:proofErr w:type="spellStart"/>
      <w:r>
        <w:t>mbord</w:t>
      </w:r>
      <w:proofErr w:type="spellEnd"/>
      <w:r>
        <w:t xml:space="preserve"> </w:t>
      </w:r>
      <w:proofErr w:type="spellStart"/>
      <w:r>
        <w:t>bainistíochta</w:t>
      </w:r>
      <w:proofErr w:type="spellEnd"/>
      <w:r>
        <w:t xml:space="preserve"> an [</w:t>
      </w:r>
      <w:proofErr w:type="spellStart"/>
      <w:r>
        <w:rPr>
          <w:highlight w:val="yellow"/>
        </w:rPr>
        <w:t>dáta</w:t>
      </w:r>
      <w:proofErr w:type="spellEnd"/>
      <w:r>
        <w:t>].</w:t>
      </w:r>
    </w:p>
    <w:p w14:paraId="1A282BCC" w14:textId="77777777" w:rsidR="00C87DFA" w:rsidRPr="00C87DFA" w:rsidRDefault="00C87DFA" w:rsidP="003349A6">
      <w:pPr>
        <w:pStyle w:val="P68B1DB1-Normal5"/>
        <w:spacing w:line="256" w:lineRule="auto"/>
        <w:ind w:left="284" w:hanging="284"/>
        <w:rPr>
          <w:sz w:val="6"/>
        </w:rPr>
      </w:pPr>
    </w:p>
    <w:p w14:paraId="380EA9E3" w14:textId="36EF6CA8" w:rsidR="000D7030" w:rsidRDefault="00C87DFA" w:rsidP="003349A6">
      <w:pPr>
        <w:pStyle w:val="P68B1DB1-Normal5"/>
        <w:spacing w:line="256" w:lineRule="auto"/>
        <w:ind w:left="284" w:hanging="284"/>
      </w:pPr>
      <w:proofErr w:type="spellStart"/>
      <w:r>
        <w:t>Sínithe</w:t>
      </w:r>
      <w:proofErr w:type="spellEnd"/>
      <w:r>
        <w:t xml:space="preserve"> ag an </w:t>
      </w:r>
      <w:proofErr w:type="spellStart"/>
      <w:r>
        <w:t>gCathaoirleach</w:t>
      </w:r>
      <w:proofErr w:type="spellEnd"/>
      <w:r>
        <w:t xml:space="preserve"> thar </w:t>
      </w:r>
      <w:proofErr w:type="spellStart"/>
      <w:r>
        <w:t>ceann</w:t>
      </w:r>
      <w:proofErr w:type="spellEnd"/>
      <w:r>
        <w:t xml:space="preserve"> an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bainis</w:t>
      </w:r>
      <w:r>
        <w:t>tíochta</w:t>
      </w:r>
      <w:proofErr w:type="spellEnd"/>
      <w:r>
        <w:t>.</w:t>
      </w:r>
    </w:p>
    <w:p w14:paraId="25983944" w14:textId="77777777" w:rsidR="000D7030" w:rsidRDefault="000D7030">
      <w:pPr>
        <w:spacing w:line="256" w:lineRule="auto"/>
        <w:ind w:left="284"/>
        <w:rPr>
          <w:rFonts w:ascii="Tw Cen MT" w:hAnsi="Tw Cen MT"/>
          <w:sz w:val="26"/>
          <w:szCs w:val="26"/>
        </w:rPr>
      </w:pPr>
    </w:p>
    <w:p w14:paraId="6E1380F3" w14:textId="1224DE85" w:rsidR="000D7030" w:rsidRPr="00C87DFA" w:rsidRDefault="00C87DFA" w:rsidP="00C87DFA">
      <w:pPr>
        <w:pStyle w:val="P68B1DB1-Normal15"/>
        <w:spacing w:line="256" w:lineRule="auto"/>
        <w:ind w:left="284" w:hanging="284"/>
      </w:pPr>
      <w:r>
        <w:t>_________________________________________________</w:t>
      </w:r>
    </w:p>
    <w:p w14:paraId="243C86D4" w14:textId="67314380" w:rsidR="000D7030" w:rsidRPr="00C87DFA" w:rsidRDefault="00C87DFA" w:rsidP="00C87DFA">
      <w:pPr>
        <w:pStyle w:val="P68B1DB1-Normal15"/>
        <w:spacing w:line="360" w:lineRule="auto"/>
        <w:jc w:val="both"/>
        <w:rPr>
          <w:b w:val="0"/>
        </w:rPr>
      </w:pPr>
      <w:proofErr w:type="spellStart"/>
      <w:r>
        <w:lastRenderedPageBreak/>
        <w:t>Tabhair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deara</w:t>
      </w:r>
      <w:proofErr w:type="spellEnd"/>
      <w:r>
        <w:t xml:space="preserve">: </w:t>
      </w:r>
      <w:r w:rsidRPr="00C87DFA">
        <w:rPr>
          <w:b w:val="0"/>
        </w:rPr>
        <w:t xml:space="preserve">An FSSU </w:t>
      </w:r>
      <w:proofErr w:type="gramStart"/>
      <w:r w:rsidRPr="00C87DFA">
        <w:rPr>
          <w:b w:val="0"/>
        </w:rPr>
        <w:t>a</w:t>
      </w:r>
      <w:proofErr w:type="gramEnd"/>
      <w:r w:rsidRPr="00C87DFA">
        <w:rPr>
          <w:b w:val="0"/>
        </w:rPr>
        <w:t xml:space="preserve"> </w:t>
      </w:r>
      <w:proofErr w:type="spellStart"/>
      <w:r w:rsidRPr="00C87DFA">
        <w:rPr>
          <w:b w:val="0"/>
        </w:rPr>
        <w:t>eisíonn</w:t>
      </w:r>
      <w:proofErr w:type="spellEnd"/>
      <w:r w:rsidRPr="00C87DFA">
        <w:rPr>
          <w:b w:val="0"/>
        </w:rPr>
        <w:t xml:space="preserve"> an doiciméad seo chun riarachán agus bainistiú níos fearr ar scoileanna a spreagadh agus a éascú. Foilsítear an treoir seo mar chuid de shraith </w:t>
      </w:r>
      <w:r w:rsidRPr="00C87DFA">
        <w:rPr>
          <w:b w:val="0"/>
        </w:rPr>
        <w:t>threorach atá beartaithe tacú le boird bhainistíochta trí bhíthin córais, próisis agus beartais a chur ar bun lena gcinnteofar go ndéanfar scoileanna a bhainistiú ar bhealach éifeachtach, éifeachtúil, cuntasach agus trédhearcach.</w:t>
      </w:r>
    </w:p>
    <w:p w14:paraId="410D461D" w14:textId="77777777" w:rsidR="000D7030" w:rsidRDefault="00C87DFA" w:rsidP="00C87DFA">
      <w:pPr>
        <w:pStyle w:val="P68B1DB1-Normal5"/>
        <w:tabs>
          <w:tab w:val="left" w:pos="5954"/>
          <w:tab w:val="left" w:pos="6096"/>
        </w:tabs>
        <w:spacing w:line="360" w:lineRule="auto"/>
        <w:jc w:val="both"/>
      </w:pPr>
      <w:r>
        <w:t>N</w:t>
      </w:r>
      <w:r>
        <w:t>í ráiteas mínitheach ar a</w:t>
      </w:r>
      <w:r>
        <w:t>n dlí é an doiciméad seo, ná níl sé beartaithe a bheith ina ráiteas mínitheach ar an dlí, agus ní comhairle dhlíthiúil atá ann. Ná húsáidtear an doiciméad seo in ionad comhairle ghairmiúil ó fhoinse chuícháilithe. Molann an FSSU don bhord bainistíochta dul</w:t>
      </w:r>
      <w:r>
        <w:t xml:space="preserve"> i gcomhairle a ndoiciméad rialaithe nó a gcomhairle dhlíthiúil neamhspleách féin a fháil nuair is gá. Ní ghlacann an FSSU freagracht ná dliteanas ar bith as aon earráidí, míchruinneas ná easnaimh sa doiciméad seo.</w:t>
      </w:r>
    </w:p>
    <w:p w14:paraId="35478ADF" w14:textId="77777777" w:rsidR="000D7030" w:rsidRDefault="000D7030">
      <w:pPr>
        <w:keepNext/>
        <w:keepLines/>
        <w:spacing w:line="256" w:lineRule="auto"/>
        <w:ind w:left="459" w:right="1156" w:hanging="10"/>
        <w:outlineLvl w:val="1"/>
        <w:rPr>
          <w:rFonts w:ascii="Tw Cen MT" w:eastAsia="Times New Roman" w:hAnsi="Tw Cen MT" w:cstheme="minorHAnsi"/>
          <w:b/>
          <w:color w:val="000000"/>
          <w:sz w:val="26"/>
          <w:szCs w:val="26"/>
        </w:rPr>
      </w:pPr>
    </w:p>
    <w:p w14:paraId="50AE4F7A" w14:textId="77777777" w:rsidR="000D7030" w:rsidRDefault="000D7030">
      <w:pPr>
        <w:rPr>
          <w:rFonts w:ascii="Tw Cen MT" w:hAnsi="Tw Cen MT" w:cstheme="minorHAnsi"/>
          <w:sz w:val="26"/>
          <w:szCs w:val="26"/>
        </w:rPr>
      </w:pPr>
    </w:p>
    <w:sectPr w:rsidR="000D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AFB"/>
    <w:multiLevelType w:val="hybridMultilevel"/>
    <w:tmpl w:val="7982D5A0"/>
    <w:lvl w:ilvl="0" w:tplc="F3406B0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482A"/>
    <w:multiLevelType w:val="hybridMultilevel"/>
    <w:tmpl w:val="538231B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677"/>
    <w:multiLevelType w:val="hybridMultilevel"/>
    <w:tmpl w:val="7C4E4E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7549B"/>
    <w:multiLevelType w:val="hybridMultilevel"/>
    <w:tmpl w:val="E69EBC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0C3D"/>
    <w:multiLevelType w:val="hybridMultilevel"/>
    <w:tmpl w:val="7D8E1B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E36EC"/>
    <w:multiLevelType w:val="hybridMultilevel"/>
    <w:tmpl w:val="911681D4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5AD6"/>
    <w:multiLevelType w:val="hybridMultilevel"/>
    <w:tmpl w:val="16563414"/>
    <w:lvl w:ilvl="0" w:tplc="FFFFFFF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E1C1A"/>
    <w:multiLevelType w:val="hybridMultilevel"/>
    <w:tmpl w:val="AC1050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8401F"/>
    <w:multiLevelType w:val="hybridMultilevel"/>
    <w:tmpl w:val="5CF24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3D0"/>
    <w:multiLevelType w:val="hybridMultilevel"/>
    <w:tmpl w:val="79169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122B"/>
    <w:multiLevelType w:val="hybridMultilevel"/>
    <w:tmpl w:val="43209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6352"/>
    <w:multiLevelType w:val="hybridMultilevel"/>
    <w:tmpl w:val="FFC85DC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B0263"/>
    <w:multiLevelType w:val="hybridMultilevel"/>
    <w:tmpl w:val="FFC85DCA"/>
    <w:lvl w:ilvl="0" w:tplc="8944618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3D6F"/>
    <w:multiLevelType w:val="hybridMultilevel"/>
    <w:tmpl w:val="0E72812A"/>
    <w:lvl w:ilvl="0" w:tplc="A2A2BC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97BBA"/>
    <w:multiLevelType w:val="hybridMultilevel"/>
    <w:tmpl w:val="ADC61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40780"/>
    <w:multiLevelType w:val="hybridMultilevel"/>
    <w:tmpl w:val="B3C285EA"/>
    <w:lvl w:ilvl="0" w:tplc="180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6" w15:restartNumberingAfterBreak="0">
    <w:nsid w:val="59B429AB"/>
    <w:multiLevelType w:val="hybridMultilevel"/>
    <w:tmpl w:val="5F92C342"/>
    <w:lvl w:ilvl="0" w:tplc="1809000F">
      <w:start w:val="1"/>
      <w:numFmt w:val="decimal"/>
      <w:lvlText w:val="%1."/>
      <w:lvlJc w:val="left"/>
      <w:pPr>
        <w:ind w:left="785" w:hanging="360"/>
      </w:pPr>
    </w:lvl>
    <w:lvl w:ilvl="1" w:tplc="18090019" w:tentative="1">
      <w:start w:val="1"/>
      <w:numFmt w:val="lowerLetter"/>
      <w:lvlText w:val="%2."/>
      <w:lvlJc w:val="left"/>
      <w:pPr>
        <w:ind w:left="1505" w:hanging="360"/>
      </w:pPr>
    </w:lvl>
    <w:lvl w:ilvl="2" w:tplc="1809001B" w:tentative="1">
      <w:start w:val="1"/>
      <w:numFmt w:val="lowerRoman"/>
      <w:lvlText w:val="%3."/>
      <w:lvlJc w:val="right"/>
      <w:pPr>
        <w:ind w:left="2225" w:hanging="180"/>
      </w:pPr>
    </w:lvl>
    <w:lvl w:ilvl="3" w:tplc="1809000F" w:tentative="1">
      <w:start w:val="1"/>
      <w:numFmt w:val="decimal"/>
      <w:lvlText w:val="%4."/>
      <w:lvlJc w:val="left"/>
      <w:pPr>
        <w:ind w:left="2945" w:hanging="360"/>
      </w:pPr>
    </w:lvl>
    <w:lvl w:ilvl="4" w:tplc="18090019" w:tentative="1">
      <w:start w:val="1"/>
      <w:numFmt w:val="lowerLetter"/>
      <w:lvlText w:val="%5."/>
      <w:lvlJc w:val="left"/>
      <w:pPr>
        <w:ind w:left="3665" w:hanging="360"/>
      </w:pPr>
    </w:lvl>
    <w:lvl w:ilvl="5" w:tplc="1809001B" w:tentative="1">
      <w:start w:val="1"/>
      <w:numFmt w:val="lowerRoman"/>
      <w:lvlText w:val="%6."/>
      <w:lvlJc w:val="right"/>
      <w:pPr>
        <w:ind w:left="4385" w:hanging="180"/>
      </w:pPr>
    </w:lvl>
    <w:lvl w:ilvl="6" w:tplc="1809000F" w:tentative="1">
      <w:start w:val="1"/>
      <w:numFmt w:val="decimal"/>
      <w:lvlText w:val="%7."/>
      <w:lvlJc w:val="left"/>
      <w:pPr>
        <w:ind w:left="5105" w:hanging="360"/>
      </w:pPr>
    </w:lvl>
    <w:lvl w:ilvl="7" w:tplc="18090019" w:tentative="1">
      <w:start w:val="1"/>
      <w:numFmt w:val="lowerLetter"/>
      <w:lvlText w:val="%8."/>
      <w:lvlJc w:val="left"/>
      <w:pPr>
        <w:ind w:left="5825" w:hanging="360"/>
      </w:pPr>
    </w:lvl>
    <w:lvl w:ilvl="8" w:tplc="1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F9056E9"/>
    <w:multiLevelType w:val="multilevel"/>
    <w:tmpl w:val="F02ECE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679D"/>
      </w:rPr>
    </w:lvl>
    <w:lvl w:ilvl="1">
      <w:start w:val="3"/>
      <w:numFmt w:val="decimal"/>
      <w:lvlText w:val="%1.%2"/>
      <w:lvlJc w:val="left"/>
      <w:pPr>
        <w:ind w:left="1635" w:hanging="360"/>
      </w:pPr>
      <w:rPr>
        <w:rFonts w:hint="default"/>
        <w:color w:val="00679D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color w:val="00679D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  <w:color w:val="00679D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  <w:color w:val="00679D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  <w:color w:val="00679D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  <w:color w:val="00679D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  <w:color w:val="00679D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  <w:color w:val="00679D"/>
      </w:rPr>
    </w:lvl>
  </w:abstractNum>
  <w:abstractNum w:abstractNumId="18" w15:restartNumberingAfterBreak="0">
    <w:nsid w:val="64282023"/>
    <w:multiLevelType w:val="hybridMultilevel"/>
    <w:tmpl w:val="2960C67C"/>
    <w:lvl w:ilvl="0" w:tplc="18090019">
      <w:start w:val="1"/>
      <w:numFmt w:val="lowerLetter"/>
      <w:lvlText w:val="%1."/>
      <w:lvlJc w:val="left"/>
      <w:pPr>
        <w:ind w:left="889" w:hanging="360"/>
      </w:pPr>
    </w:lvl>
    <w:lvl w:ilvl="1" w:tplc="18090019" w:tentative="1">
      <w:start w:val="1"/>
      <w:numFmt w:val="lowerLetter"/>
      <w:lvlText w:val="%2."/>
      <w:lvlJc w:val="left"/>
      <w:pPr>
        <w:ind w:left="1609" w:hanging="360"/>
      </w:pPr>
    </w:lvl>
    <w:lvl w:ilvl="2" w:tplc="1809001B" w:tentative="1">
      <w:start w:val="1"/>
      <w:numFmt w:val="lowerRoman"/>
      <w:lvlText w:val="%3."/>
      <w:lvlJc w:val="right"/>
      <w:pPr>
        <w:ind w:left="2329" w:hanging="180"/>
      </w:pPr>
    </w:lvl>
    <w:lvl w:ilvl="3" w:tplc="1809000F" w:tentative="1">
      <w:start w:val="1"/>
      <w:numFmt w:val="decimal"/>
      <w:lvlText w:val="%4."/>
      <w:lvlJc w:val="left"/>
      <w:pPr>
        <w:ind w:left="3049" w:hanging="360"/>
      </w:pPr>
    </w:lvl>
    <w:lvl w:ilvl="4" w:tplc="18090019" w:tentative="1">
      <w:start w:val="1"/>
      <w:numFmt w:val="lowerLetter"/>
      <w:lvlText w:val="%5."/>
      <w:lvlJc w:val="left"/>
      <w:pPr>
        <w:ind w:left="3769" w:hanging="360"/>
      </w:pPr>
    </w:lvl>
    <w:lvl w:ilvl="5" w:tplc="1809001B" w:tentative="1">
      <w:start w:val="1"/>
      <w:numFmt w:val="lowerRoman"/>
      <w:lvlText w:val="%6."/>
      <w:lvlJc w:val="right"/>
      <w:pPr>
        <w:ind w:left="4489" w:hanging="180"/>
      </w:pPr>
    </w:lvl>
    <w:lvl w:ilvl="6" w:tplc="1809000F" w:tentative="1">
      <w:start w:val="1"/>
      <w:numFmt w:val="decimal"/>
      <w:lvlText w:val="%7."/>
      <w:lvlJc w:val="left"/>
      <w:pPr>
        <w:ind w:left="5209" w:hanging="360"/>
      </w:pPr>
    </w:lvl>
    <w:lvl w:ilvl="7" w:tplc="18090019" w:tentative="1">
      <w:start w:val="1"/>
      <w:numFmt w:val="lowerLetter"/>
      <w:lvlText w:val="%8."/>
      <w:lvlJc w:val="left"/>
      <w:pPr>
        <w:ind w:left="5929" w:hanging="360"/>
      </w:pPr>
    </w:lvl>
    <w:lvl w:ilvl="8" w:tplc="1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9" w15:restartNumberingAfterBreak="0">
    <w:nsid w:val="6A2B4144"/>
    <w:multiLevelType w:val="hybridMultilevel"/>
    <w:tmpl w:val="ECAE57DC"/>
    <w:lvl w:ilvl="0" w:tplc="18585E4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0798"/>
    <w:multiLevelType w:val="hybridMultilevel"/>
    <w:tmpl w:val="199242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92F8A"/>
    <w:multiLevelType w:val="hybridMultilevel"/>
    <w:tmpl w:val="7BBC3DC8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8"/>
  </w:num>
  <w:num w:numId="9">
    <w:abstractNumId w:val="14"/>
  </w:num>
  <w:num w:numId="10">
    <w:abstractNumId w:val="16"/>
  </w:num>
  <w:num w:numId="11">
    <w:abstractNumId w:val="19"/>
  </w:num>
  <w:num w:numId="12">
    <w:abstractNumId w:val="21"/>
  </w:num>
  <w:num w:numId="13">
    <w:abstractNumId w:val="6"/>
  </w:num>
  <w:num w:numId="14">
    <w:abstractNumId w:val="1"/>
  </w:num>
  <w:num w:numId="15">
    <w:abstractNumId w:val="5"/>
  </w:num>
  <w:num w:numId="16">
    <w:abstractNumId w:val="11"/>
  </w:num>
  <w:num w:numId="17">
    <w:abstractNumId w:val="10"/>
  </w:num>
  <w:num w:numId="18">
    <w:abstractNumId w:val="7"/>
  </w:num>
  <w:num w:numId="19">
    <w:abstractNumId w:val="0"/>
  </w:num>
  <w:num w:numId="20">
    <w:abstractNumId w:val="9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F3"/>
    <w:rsid w:val="000942C1"/>
    <w:rsid w:val="000D6D31"/>
    <w:rsid w:val="000D7030"/>
    <w:rsid w:val="0016655A"/>
    <w:rsid w:val="001C1BAB"/>
    <w:rsid w:val="001F5A34"/>
    <w:rsid w:val="002039C7"/>
    <w:rsid w:val="00256BE2"/>
    <w:rsid w:val="002736E0"/>
    <w:rsid w:val="002A5E83"/>
    <w:rsid w:val="002B3CD1"/>
    <w:rsid w:val="002C0C84"/>
    <w:rsid w:val="003131DB"/>
    <w:rsid w:val="00317AF9"/>
    <w:rsid w:val="00330120"/>
    <w:rsid w:val="003349A6"/>
    <w:rsid w:val="003E29CC"/>
    <w:rsid w:val="003F14CD"/>
    <w:rsid w:val="003F4DFB"/>
    <w:rsid w:val="00444608"/>
    <w:rsid w:val="00456683"/>
    <w:rsid w:val="004E5268"/>
    <w:rsid w:val="00537029"/>
    <w:rsid w:val="0055226C"/>
    <w:rsid w:val="00566C1F"/>
    <w:rsid w:val="00581EE1"/>
    <w:rsid w:val="005A40FD"/>
    <w:rsid w:val="005F51B0"/>
    <w:rsid w:val="006065F7"/>
    <w:rsid w:val="00617883"/>
    <w:rsid w:val="006D4A23"/>
    <w:rsid w:val="00715A1A"/>
    <w:rsid w:val="007319D5"/>
    <w:rsid w:val="0074596E"/>
    <w:rsid w:val="00764645"/>
    <w:rsid w:val="0076605A"/>
    <w:rsid w:val="00833956"/>
    <w:rsid w:val="00881F8E"/>
    <w:rsid w:val="0088438A"/>
    <w:rsid w:val="008B32CA"/>
    <w:rsid w:val="008B4E3D"/>
    <w:rsid w:val="008B7AE4"/>
    <w:rsid w:val="008F6376"/>
    <w:rsid w:val="00913478"/>
    <w:rsid w:val="00957050"/>
    <w:rsid w:val="0096108E"/>
    <w:rsid w:val="00970ACF"/>
    <w:rsid w:val="009A19A2"/>
    <w:rsid w:val="009A2A49"/>
    <w:rsid w:val="009D5B9C"/>
    <w:rsid w:val="00A25F3A"/>
    <w:rsid w:val="00A769E6"/>
    <w:rsid w:val="00AB03C8"/>
    <w:rsid w:val="00AF360F"/>
    <w:rsid w:val="00AF5FDD"/>
    <w:rsid w:val="00B3081E"/>
    <w:rsid w:val="00B412E2"/>
    <w:rsid w:val="00BB086E"/>
    <w:rsid w:val="00BC418E"/>
    <w:rsid w:val="00BE18B7"/>
    <w:rsid w:val="00BE77E0"/>
    <w:rsid w:val="00BF4C9C"/>
    <w:rsid w:val="00C22A24"/>
    <w:rsid w:val="00C76179"/>
    <w:rsid w:val="00C77EF3"/>
    <w:rsid w:val="00C87DFA"/>
    <w:rsid w:val="00CC3262"/>
    <w:rsid w:val="00CD1E82"/>
    <w:rsid w:val="00CF1BC9"/>
    <w:rsid w:val="00CF220E"/>
    <w:rsid w:val="00D43E95"/>
    <w:rsid w:val="00D77919"/>
    <w:rsid w:val="00D80323"/>
    <w:rsid w:val="00DD1948"/>
    <w:rsid w:val="00DD3B14"/>
    <w:rsid w:val="00E2083D"/>
    <w:rsid w:val="00E8119F"/>
    <w:rsid w:val="00E93064"/>
    <w:rsid w:val="00EC0AB9"/>
    <w:rsid w:val="00EC2798"/>
    <w:rsid w:val="00ED201E"/>
    <w:rsid w:val="00F6566C"/>
    <w:rsid w:val="00F940DC"/>
    <w:rsid w:val="00FA4AD2"/>
    <w:rsid w:val="00FC6299"/>
    <w:rsid w:val="00FE4AF3"/>
    <w:rsid w:val="0B4F9A41"/>
    <w:rsid w:val="1090CEDC"/>
    <w:rsid w:val="3C391DA4"/>
    <w:rsid w:val="59EF2B82"/>
    <w:rsid w:val="668789CC"/>
    <w:rsid w:val="66D2A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5F65"/>
  <w15:chartTrackingRefBased/>
  <w15:docId w15:val="{B2448BB9-8159-4E66-B706-061E630E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F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77EF3"/>
    <w:pPr>
      <w:widowControl w:val="0"/>
      <w:autoSpaceDE w:val="0"/>
      <w:autoSpaceDN w:val="0"/>
      <w:spacing w:before="115" w:after="0" w:line="240" w:lineRule="auto"/>
      <w:ind w:left="20"/>
      <w:outlineLvl w:val="2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7EF3"/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77E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77EF3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C77E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34"/>
    <w:qFormat/>
    <w:rsid w:val="00C77E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4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basedOn w:val="TableNormal"/>
    <w:uiPriority w:val="59"/>
    <w:rsid w:val="000942C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4608"/>
    <w:pPr>
      <w:spacing w:after="0" w:line="240" w:lineRule="auto"/>
    </w:pPr>
  </w:style>
  <w:style w:type="table" w:styleId="TableGrid">
    <w:name w:val="Table Grid"/>
    <w:basedOn w:val="TableNormal"/>
    <w:uiPriority w:val="39"/>
    <w:rsid w:val="002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51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4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64"/>
    <w:rPr>
      <w:rFonts w:ascii="Segoe UI" w:hAnsi="Segoe UI" w:cs="Segoe UI"/>
      <w:sz w:val="18"/>
      <w:szCs w:val="18"/>
    </w:rPr>
  </w:style>
  <w:style w:type="paragraph" w:customStyle="1" w:styleId="P68B1DB1-Normal1">
    <w:name w:val="P68B1DB1-Normal1"/>
    <w:basedOn w:val="Normal"/>
    <w:rPr>
      <w:rFonts w:ascii="Tw Cen MT" w:hAnsi="Tw Cen MT"/>
      <w:b/>
      <w:bCs/>
      <w:sz w:val="72"/>
      <w:szCs w:val="72"/>
    </w:rPr>
  </w:style>
  <w:style w:type="paragraph" w:customStyle="1" w:styleId="P68B1DB1-Normal2">
    <w:name w:val="P68B1DB1-Normal2"/>
    <w:basedOn w:val="Normal"/>
    <w:rPr>
      <w:rFonts w:ascii="Tw Cen MT" w:hAnsi="Tw Cen MT" w:cs="Arial"/>
      <w:i/>
      <w:iCs/>
      <w:sz w:val="26"/>
      <w:szCs w:val="26"/>
    </w:rPr>
  </w:style>
  <w:style w:type="paragraph" w:customStyle="1" w:styleId="P68B1DB1-Normal3">
    <w:name w:val="P68B1DB1-Normal3"/>
    <w:basedOn w:val="Normal"/>
    <w:rPr>
      <w:rFonts w:ascii="Tw Cen MT" w:eastAsia="Calibri" w:hAnsi="Tw Cen MT" w:cs="Arial"/>
      <w:b/>
      <w:color w:val="000000"/>
      <w:sz w:val="26"/>
      <w:szCs w:val="26"/>
    </w:rPr>
  </w:style>
  <w:style w:type="paragraph" w:customStyle="1" w:styleId="P68B1DB1-Normal4">
    <w:name w:val="P68B1DB1-Normal4"/>
    <w:basedOn w:val="Normal"/>
    <w:rPr>
      <w:rFonts w:ascii="Tw Cen MT" w:eastAsia="Garamond" w:hAnsi="Tw Cen MT" w:cstheme="minorHAnsi"/>
      <w:b/>
      <w:color w:val="000000"/>
      <w:sz w:val="32"/>
      <w:szCs w:val="32"/>
    </w:rPr>
  </w:style>
  <w:style w:type="paragraph" w:customStyle="1" w:styleId="P68B1DB1-Normal5">
    <w:name w:val="P68B1DB1-Normal5"/>
    <w:basedOn w:val="Normal"/>
    <w:rPr>
      <w:rFonts w:ascii="Tw Cen MT" w:hAnsi="Tw Cen MT"/>
      <w:sz w:val="26"/>
      <w:szCs w:val="26"/>
    </w:rPr>
  </w:style>
  <w:style w:type="paragraph" w:customStyle="1" w:styleId="P68B1DB1-Heading26">
    <w:name w:val="P68B1DB1-Heading26"/>
    <w:basedOn w:val="Heading2"/>
    <w:rPr>
      <w:rFonts w:ascii="Tw Cen MT" w:eastAsiaTheme="minorHAnsi" w:hAnsi="Tw Cen MT" w:cstheme="minorBidi"/>
      <w:color w:val="auto"/>
    </w:rPr>
  </w:style>
  <w:style w:type="paragraph" w:customStyle="1" w:styleId="P68B1DB1-Heading27">
    <w:name w:val="P68B1DB1-Heading27"/>
    <w:basedOn w:val="Heading2"/>
    <w:rPr>
      <w:rFonts w:ascii="Tw Cen MT" w:eastAsiaTheme="minorHAnsi" w:hAnsi="Tw Cen MT" w:cstheme="minorBidi"/>
      <w:b/>
      <w:bCs/>
      <w:color w:val="auto"/>
    </w:rPr>
  </w:style>
  <w:style w:type="paragraph" w:customStyle="1" w:styleId="P68B1DB1-ListParagraph8">
    <w:name w:val="P68B1DB1-ListParagraph8"/>
    <w:basedOn w:val="ListParagraph"/>
    <w:rPr>
      <w:rFonts w:ascii="Tw Cen MT" w:hAnsi="Tw Cen MT"/>
      <w:b/>
      <w:bCs/>
      <w:sz w:val="26"/>
      <w:szCs w:val="26"/>
    </w:rPr>
  </w:style>
  <w:style w:type="paragraph" w:customStyle="1" w:styleId="P68B1DB1-TableParagraph9">
    <w:name w:val="P68B1DB1-TableParagraph9"/>
    <w:basedOn w:val="TableParagraph"/>
    <w:rPr>
      <w:rFonts w:ascii="Tw Cen MT" w:eastAsiaTheme="minorHAnsi" w:hAnsi="Tw Cen MT" w:cstheme="minorBidi"/>
      <w:b/>
      <w:bCs/>
      <w:sz w:val="26"/>
      <w:szCs w:val="26"/>
    </w:rPr>
  </w:style>
  <w:style w:type="paragraph" w:customStyle="1" w:styleId="P68B1DB1-NoSpacing10">
    <w:name w:val="P68B1DB1-NoSpacing10"/>
    <w:basedOn w:val="NoSpacing"/>
    <w:rPr>
      <w:rFonts w:ascii="Tw Cen MT" w:hAnsi="Tw Cen MT"/>
      <w:sz w:val="26"/>
      <w:szCs w:val="26"/>
    </w:rPr>
  </w:style>
  <w:style w:type="paragraph" w:customStyle="1" w:styleId="P68B1DB1-TableParagraph11">
    <w:name w:val="P68B1DB1-TableParagraph11"/>
    <w:basedOn w:val="TableParagraph"/>
    <w:rPr>
      <w:rFonts w:ascii="Tw Cen MT" w:eastAsiaTheme="minorHAnsi" w:hAnsi="Tw Cen MT" w:cstheme="minorBidi"/>
      <w:sz w:val="26"/>
      <w:szCs w:val="26"/>
    </w:rPr>
  </w:style>
  <w:style w:type="paragraph" w:customStyle="1" w:styleId="P68B1DB1-ListParagraph12">
    <w:name w:val="P68B1DB1-ListParagraph12"/>
    <w:basedOn w:val="ListParagraph"/>
    <w:rPr>
      <w:rFonts w:ascii="Tw Cen MT" w:hAnsi="Tw Cen MT"/>
      <w:sz w:val="26"/>
      <w:szCs w:val="26"/>
    </w:rPr>
  </w:style>
  <w:style w:type="paragraph" w:customStyle="1" w:styleId="P68B1DB1-TableParagraph13">
    <w:name w:val="P68B1DB1-TableParagraph13"/>
    <w:basedOn w:val="TableParagraph"/>
    <w:rPr>
      <w:rFonts w:ascii="Tw Cen MT" w:eastAsiaTheme="minorHAnsi" w:hAnsi="Tw Cen MT" w:cstheme="minorBidi"/>
      <w:b/>
      <w:bCs/>
      <w:sz w:val="24"/>
      <w:szCs w:val="26"/>
    </w:rPr>
  </w:style>
  <w:style w:type="paragraph" w:customStyle="1" w:styleId="P68B1DB1-ListParagraph14">
    <w:name w:val="P68B1DB1-ListParagraph14"/>
    <w:basedOn w:val="ListParagraph"/>
    <w:rPr>
      <w:rFonts w:ascii="Tw Cen MT" w:hAnsi="Tw Cen MT"/>
      <w:b/>
      <w:bCs/>
      <w:szCs w:val="26"/>
    </w:rPr>
  </w:style>
  <w:style w:type="paragraph" w:customStyle="1" w:styleId="P68B1DB1-Normal15">
    <w:name w:val="P68B1DB1-Normal15"/>
    <w:basedOn w:val="Normal"/>
    <w:rPr>
      <w:rFonts w:ascii="Tw Cen MT" w:hAnsi="Tw Cen M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16bbc8263eb9c62edfe746c10a201f36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fe1bb4de7bfe368bd5e684a5cfd9df8c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3EAA-C5AF-4E54-9401-C35C38F0B481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customXml/itemProps2.xml><?xml version="1.0" encoding="utf-8"?>
<ds:datastoreItem xmlns:ds="http://schemas.openxmlformats.org/officeDocument/2006/customXml" ds:itemID="{6075EA79-8BC7-43A6-9297-5BCEEB400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BEA22-67DC-48DC-8DBD-8F2A5E0DC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8C97D-32AD-42AC-AA86-4C5FF0D4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Lambert</dc:creator>
  <cp:keywords/>
  <dc:description/>
  <cp:lastModifiedBy>Liz Lambert</cp:lastModifiedBy>
  <cp:revision>2</cp:revision>
  <dcterms:created xsi:type="dcterms:W3CDTF">2026-03-18T10:01:00Z</dcterms:created>
  <dcterms:modified xsi:type="dcterms:W3CDTF">2026-03-18T10:01:00Z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  <property fmtid="{D5CDD505-2E9C-101B-9397-08002B2CF9AE}" pid="3" name="GrammarlyDocumentId">
    <vt:lpwstr>a5aeee08fe7018247bca08b43228eb6612388804a5f29c55d8272b7467e8bf75</vt:lpwstr>
  </property>
  <property fmtid="{D5CDD505-2E9C-101B-9397-08002B2CF9AE}" pid="4" name="MediaServiceImageTags">
    <vt:lpwstr/>
  </property>
</Properties>
</file>